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autoSpaceDN w:val="0"/>
        <w:autoSpaceDE w:val="0"/>
        <w:widowControl/>
        <w:spacing w:line="220" w:lineRule="exact" w:before="0" w:after="114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6361430</wp:posOffset>
            </wp:positionH>
            <wp:positionV relativeFrom="page">
              <wp:posOffset>703580</wp:posOffset>
            </wp:positionV>
            <wp:extent cx="720090" cy="909266"/>
            <wp:wrapNone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720090" cy="90926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1165860</wp:posOffset>
            </wp:positionH>
            <wp:positionV relativeFrom="page">
              <wp:posOffset>996950</wp:posOffset>
            </wp:positionV>
            <wp:extent cx="49530" cy="49530"/>
            <wp:wrapNone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530" cy="4953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469900</wp:posOffset>
            </wp:positionH>
            <wp:positionV relativeFrom="page">
              <wp:posOffset>698500</wp:posOffset>
            </wp:positionV>
            <wp:extent cx="6616700" cy="914400"/>
            <wp:wrapNone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16700" cy="914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6361430</wp:posOffset>
            </wp:positionH>
            <wp:positionV relativeFrom="page">
              <wp:posOffset>1888489</wp:posOffset>
            </wp:positionV>
            <wp:extent cx="365760" cy="365760"/>
            <wp:wrapNone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5760" cy="36576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6362700</wp:posOffset>
            </wp:positionH>
            <wp:positionV relativeFrom="page">
              <wp:posOffset>1879600</wp:posOffset>
            </wp:positionV>
            <wp:extent cx="368300" cy="381000"/>
            <wp:wrapNone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8300" cy="3810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tabs>
          <w:tab w:pos="3442" w:val="left"/>
          <w:tab w:pos="3824" w:val="left"/>
        </w:tabs>
        <w:autoSpaceDE w:val="0"/>
        <w:widowControl/>
        <w:spacing w:line="462" w:lineRule="exact" w:before="0" w:after="0"/>
        <w:ind w:left="2964" w:right="2880" w:firstLine="0"/>
        <w:jc w:val="left"/>
      </w:pPr>
      <w:r>
        <w:tab/>
      </w:r>
      <w:r>
        <w:rPr>
          <w:w w:val="102.47142655508858"/>
          <w:rFonts w:ascii="CharisSIL" w:hAnsi="CharisSIL" w:eastAsia="CharisSIL"/>
          <w:b w:val="0"/>
          <w:i w:val="0"/>
          <w:color w:val="09769F"/>
          <w:sz w:val="14"/>
        </w:rPr>
        <w:hyperlink r:id="rId9" w:history="1">
          <w:r>
            <w:rPr>
              <w:rStyle w:val="Hyperlink"/>
            </w:rPr>
            <w:t>Artificial Intelligence in G</w:t>
          </w:r>
        </w:hyperlink>
      </w:r>
      <w:r>
        <w:rPr>
          <w:w w:val="102.47142655508858"/>
          <w:rFonts w:ascii="CharisSIL" w:hAnsi="CharisSIL" w:eastAsia="CharisSIL"/>
          <w:b w:val="0"/>
          <w:i w:val="0"/>
          <w:color w:val="09769F"/>
          <w:sz w:val="14"/>
        </w:rPr>
        <w:t>e</w:t>
      </w:r>
      <w:r>
        <w:rPr>
          <w:w w:val="102.47142655508858"/>
          <w:rFonts w:ascii="CharisSIL" w:hAnsi="CharisSIL" w:eastAsia="CharisSIL"/>
          <w:b w:val="0"/>
          <w:i w:val="0"/>
          <w:color w:val="09769F"/>
          <w:sz w:val="14"/>
        </w:rPr>
        <w:hyperlink r:id="rId9" w:history="1">
          <w:r>
            <w:rPr>
              <w:rStyle w:val="Hyperlink"/>
            </w:rPr>
            <w:t>o</w:t>
          </w:r>
        </w:hyperlink>
      </w:r>
      <w:r>
        <w:rPr>
          <w:w w:val="102.47142655508858"/>
          <w:rFonts w:ascii="CharisSIL" w:hAnsi="CharisSIL" w:eastAsia="CharisSIL"/>
          <w:b w:val="0"/>
          <w:i w:val="0"/>
          <w:color w:val="09769F"/>
          <w:sz w:val="14"/>
        </w:rPr>
        <w:hyperlink r:id="rId9" w:history="1">
          <w:r>
            <w:rPr>
              <w:rStyle w:val="Hyperlink"/>
            </w:rPr>
            <w:t xml:space="preserve">sciences 3 (2022) 203–208 </w:t>
          </w:r>
        </w:hyperlink>
      </w:r>
      <w:r>
        <w:br/>
      </w:r>
      <w:r>
        <w:tab/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Contents lists available at 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 xml:space="preserve">ScienceDirect </w:t>
      </w:r>
      <w:r>
        <w:br/>
      </w:r>
      <w:r>
        <w:rPr>
          <w:rFonts w:ascii="CharisSIL" w:hAnsi="CharisSIL" w:eastAsia="CharisSIL"/>
          <w:b w:val="0"/>
          <w:i w:val="0"/>
          <w:color w:val="000000"/>
          <w:sz w:val="28"/>
        </w:rPr>
        <w:t xml:space="preserve">Artificial Intelligence in Geosciences </w:t>
      </w:r>
    </w:p>
    <w:p>
      <w:pPr>
        <w:autoSpaceDN w:val="0"/>
        <w:autoSpaceDE w:val="0"/>
        <w:widowControl/>
        <w:spacing w:line="164" w:lineRule="exact" w:before="310" w:after="0"/>
        <w:ind w:left="0" w:right="0" w:firstLine="0"/>
        <w:jc w:val="center"/>
      </w:pPr>
      <w:r>
        <w:rPr>
          <w:rFonts w:ascii="Univers" w:hAnsi="Univers" w:eastAsia="Univers"/>
          <w:b w:val="0"/>
          <w:i w:val="0"/>
          <w:color w:val="000000"/>
          <w:sz w:val="16"/>
        </w:rPr>
        <w:t xml:space="preserve">journal homepage: </w:t>
      </w:r>
      <w:r>
        <w:rPr>
          <w:rFonts w:ascii="Univers" w:hAnsi="Univers" w:eastAsia="Univers"/>
          <w:b w:val="0"/>
          <w:i w:val="0"/>
          <w:color w:val="2196D1"/>
          <w:sz w:val="16"/>
        </w:rPr>
        <w:hyperlink r:id="rId10" w:history="1">
          <w:r>
            <w:rPr>
              <w:rStyle w:val="Hyperlink"/>
            </w:rPr>
            <w:t>www.keaipublishing.com/en/journals/artificial-intelligence-in-geoscience</w:t>
          </w:r>
        </w:hyperlink>
      </w:r>
      <w:r>
        <w:rPr>
          <w:rFonts w:ascii="Univers" w:hAnsi="Univers" w:eastAsia="Univers"/>
          <w:b w:val="0"/>
          <w:i w:val="0"/>
          <w:color w:val="2196D1"/>
          <w:sz w:val="16"/>
        </w:rPr>
        <w:t xml:space="preserve">s </w:t>
      </w:r>
    </w:p>
    <w:p>
      <w:pPr>
        <w:autoSpaceDN w:val="0"/>
        <w:autoSpaceDE w:val="0"/>
        <w:widowControl/>
        <w:spacing w:line="384" w:lineRule="exact" w:before="746" w:after="156"/>
        <w:ind w:left="2" w:right="2304" w:firstLine="0"/>
        <w:jc w:val="left"/>
      </w:pPr>
      <w:r>
        <w:rPr>
          <w:rFonts w:ascii="CharisSIL" w:hAnsi="CharisSIL" w:eastAsia="CharisSIL"/>
          <w:b w:val="0"/>
          <w:i w:val="0"/>
          <w:color w:val="000000"/>
          <w:sz w:val="27"/>
        </w:rPr>
        <w:t xml:space="preserve">High resolution pre-stack seismic inversion using few-shot learning </w:t>
      </w:r>
      <w:r>
        <w:rPr>
          <w:rFonts w:ascii="CharisSIL" w:hAnsi="CharisSIL" w:eastAsia="CharisSIL"/>
          <w:b w:val="0"/>
          <w:i w:val="0"/>
          <w:color w:val="000000"/>
          <w:sz w:val="21"/>
        </w:rPr>
        <w:t>Ting Chen</w:t>
      </w:r>
      <w:r>
        <w:rPr>
          <w:w w:val="101.99228286743165"/>
          <w:rFonts w:ascii="CharisSIL" w:hAnsi="CharisSIL" w:eastAsia="CharisSIL"/>
          <w:b w:val="0"/>
          <w:i w:val="0"/>
          <w:color w:val="2196D1"/>
          <w:sz w:val="15"/>
        </w:rPr>
        <w:t>*</w:t>
      </w:r>
      <w:r>
        <w:rPr>
          <w:rFonts w:ascii="CharisSIL" w:hAnsi="CharisSIL" w:eastAsia="CharisSIL"/>
          <w:b w:val="0"/>
          <w:i w:val="0"/>
          <w:color w:val="000000"/>
          <w:sz w:val="21"/>
        </w:rPr>
        <w:t xml:space="preserve">, Yaojun Wang, Hanpeng Cai, Gang Yu, Guangmin Hu </w:t>
      </w:r>
      <w:r>
        <w:br/>
      </w:r>
      <w:r>
        <w:rPr>
          <w:w w:val="98.09076602642352"/>
          <w:rFonts w:ascii="CharisSIL" w:hAnsi="CharisSIL" w:eastAsia="CharisSIL"/>
          <w:b w:val="0"/>
          <w:i/>
          <w:color w:val="000000"/>
          <w:sz w:val="13"/>
        </w:rPr>
        <w:t xml:space="preserve">University of Electronic Science and Technology of China, China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.0000000000000284" w:type="dxa"/>
      </w:tblPr>
      <w:tblGrid>
        <w:gridCol w:w="5235"/>
        <w:gridCol w:w="5235"/>
      </w:tblGrid>
      <w:tr>
        <w:trPr>
          <w:trHeight w:hRule="exact" w:val="640"/>
        </w:trPr>
        <w:tc>
          <w:tcPr>
            <w:tcW w:type="dxa" w:w="2664"/>
            <w:tcBorders>
              <w:top w:sz="2.400000000000091" w:val="single" w:color="#000000"/>
              <w:bottom w:sz="1.59999999999990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8" w:lineRule="exact" w:before="272" w:after="0"/>
              <w:ind w:left="0" w:right="0" w:firstLine="0"/>
              <w:jc w:val="left"/>
            </w:pPr>
            <w:r>
              <w:rPr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A R T I C L E  I N F O </w:t>
            </w:r>
          </w:p>
        </w:tc>
        <w:tc>
          <w:tcPr>
            <w:tcW w:type="dxa" w:w="7784"/>
            <w:tcBorders>
              <w:top w:sz="2.400000000000091" w:val="single" w:color="#000000"/>
              <w:bottom w:sz="1.59999999999990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8" w:lineRule="exact" w:before="272" w:after="0"/>
              <w:ind w:left="624" w:right="0" w:firstLine="0"/>
              <w:jc w:val="left"/>
            </w:pPr>
            <w:r>
              <w:rPr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A B S T R A C T </w:t>
            </w:r>
          </w:p>
        </w:tc>
      </w:tr>
      <w:tr>
        <w:trPr>
          <w:trHeight w:hRule="exact" w:val="2256"/>
        </w:trPr>
        <w:tc>
          <w:tcPr>
            <w:tcW w:type="dxa" w:w="2664"/>
            <w:tcBorders>
              <w:top w:sz="1.599999999999909" w:val="single" w:color="#000000"/>
              <w:bottom w:sz="1.59999999999990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6" w:after="0"/>
              <w:ind w:left="0" w:right="1152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/>
                <w:color w:val="000000"/>
                <w:sz w:val="13"/>
              </w:rPr>
              <w:t xml:space="preserve">Keywords: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Few-shot learning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Artificial neural network 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Seismic inversion </w:t>
            </w:r>
          </w:p>
        </w:tc>
        <w:tc>
          <w:tcPr>
            <w:tcW w:type="dxa" w:w="7784"/>
            <w:tcBorders>
              <w:top w:sz="1.599999999999909" w:val="single" w:color="#000000"/>
              <w:bottom w:sz="1.59999999999990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exact" w:before="62" w:after="0"/>
              <w:ind w:left="624" w:right="0" w:firstLine="0"/>
              <w:jc w:val="left"/>
            </w:pPr>
            <w:r>
              <w:rPr>
                <w:w w:val="102.47142655508858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We propose to use a Few-Shot Learning (FSL) method for the pre-stack seismic inversion problem in obtaining a </w:t>
            </w:r>
            <w:r>
              <w:rPr>
                <w:w w:val="102.47142655508858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high resolution reservoir model from recorded seismic data. Recently, artificial neural network (ANN) demon-</w:t>
            </w:r>
            <w:r>
              <w:rPr>
                <w:w w:val="102.47142655508858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strates great advantages for seismic inversion because of its powerful feature extraction and parameter learning </w:t>
            </w:r>
            <w:r>
              <w:rPr>
                <w:w w:val="102.47142655508858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ability. Hence, ANN method could provide a high resolution inversion result that are critical for reservoir </w:t>
            </w:r>
            <w:r>
              <w:rPr>
                <w:w w:val="102.47142655508858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characterization. However, the ANN approach requires plenty of labeled samples for training in order to obtain a </w:t>
            </w:r>
            <w:r>
              <w:rPr>
                <w:w w:val="102.47142655508858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satisfactory result. For the common problem of scarce samples in the ANN seismic inversion, we create a novel </w:t>
            </w:r>
            <w:r>
              <w:rPr>
                <w:w w:val="102.47142655508858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pre-stack seismic inversion method that takes advantage of the FSL. The results of conventional inversion are </w:t>
            </w:r>
            <w:r>
              <w:rPr>
                <w:w w:val="102.47142655508858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used as the auxiliary dataset for ANN based on FSL, while the well log is regarded the scarce training dataset. </w:t>
            </w:r>
            <w:r>
              <w:rPr>
                <w:w w:val="102.47142655508858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According to the characteristics of seismic inversion (large amount and high dimensional), we construct an arch </w:t>
            </w:r>
            <w:r>
              <w:rPr>
                <w:w w:val="102.47142655508858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network (A-Net) architecture to implement this method. An example shows that this method can improve the </w:t>
            </w:r>
            <w:r>
              <w:rPr>
                <w:w w:val="102.47142655508858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accuracy and resolution of inversion results. </w:t>
            </w:r>
          </w:p>
        </w:tc>
      </w:tr>
    </w:tbl>
    <w:p>
      <w:pPr>
        <w:autoSpaceDN w:val="0"/>
        <w:autoSpaceDE w:val="0"/>
        <w:widowControl/>
        <w:spacing w:line="14" w:lineRule="exact" w:before="0" w:after="432"/>
        <w:ind w:left="0" w:right="0"/>
      </w:pPr>
    </w:p>
    <w:p>
      <w:pPr>
        <w:sectPr>
          <w:pgSz w:w="11906" w:h="15874"/>
          <w:pgMar w:top="334" w:right="686" w:bottom="496" w:left="750" w:header="720" w:footer="720" w:gutter="0"/>
          <w:cols w:space="720" w:num="1" w:equalWidth="0">
            <w:col w:w="10470" w:space="0"/>
          </w:cols>
          <w:docGrid w:linePitch="360"/>
        </w:sectPr>
      </w:pPr>
    </w:p>
    <w:p>
      <w:pPr>
        <w:autoSpaceDN w:val="0"/>
        <w:autoSpaceDE w:val="0"/>
        <w:widowControl/>
        <w:spacing w:line="260" w:lineRule="exact" w:before="0" w:after="0"/>
        <w:ind w:left="2" w:right="0" w:firstLine="0"/>
        <w:jc w:val="left"/>
      </w:pPr>
      <w:r>
        <w:rPr>
          <w:rFonts w:ascii="CharisSIL" w:hAnsi="CharisSIL" w:eastAsia="CharisSIL"/>
          <w:b/>
          <w:i w:val="0"/>
          <w:color w:val="000000"/>
          <w:sz w:val="16"/>
        </w:rPr>
        <w:t xml:space="preserve">1. Introduction </w:t>
      </w:r>
    </w:p>
    <w:p>
      <w:pPr>
        <w:autoSpaceDN w:val="0"/>
        <w:autoSpaceDE w:val="0"/>
        <w:widowControl/>
        <w:spacing w:line="210" w:lineRule="exact" w:before="208" w:after="0"/>
        <w:ind w:left="2" w:right="144" w:firstLine="238"/>
        <w:jc w:val="left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High resolution pre-stack seismic inversion is a major technology for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reservoir characterization (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Zong et al., 2012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). Due to the limitation of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seismic data quality, it is difficult to obtain a high resolution reservoir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parameter from seismic data (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Alemie and Sacchi, 2011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). Previous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studies found that introducing prior information or reasonable rock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physical model into the inversion framework can improve the resolution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 inversion results (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Hampson et al., 2005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; 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She et al., 2019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; 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de Fig-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ueiredo et al., 2019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). However, the current methods need to design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mathematical models satisfying different assumptions, they are only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applicable to some specific scenarios, but difficult to complex geological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areas. </w:t>
      </w:r>
    </w:p>
    <w:p>
      <w:pPr>
        <w:autoSpaceDN w:val="0"/>
        <w:autoSpaceDE w:val="0"/>
        <w:widowControl/>
        <w:spacing w:line="210" w:lineRule="exact" w:before="52" w:after="0"/>
        <w:ind w:left="2" w:right="156" w:firstLine="238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current research shows that ANN has powerful feature extraction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and parameter learning ability, and the inversion methods combined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with ANN are more efficient than conventional one. It has been used to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obtain velocity model from the CSP gathers (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R</w:t>
      </w:r>
      <w:r>
        <w:rPr>
          <w:rFonts w:ascii="TeX_CM_Roman" w:hAnsi="TeX_CM_Roman" w:eastAsia="TeX_CM_Roman"/>
          <w:b w:val="0"/>
          <w:i w:val="0"/>
          <w:color w:val="2196D1"/>
          <w:sz w:val="16"/>
        </w:rPr>
        <w:t>¨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oth and Tarantola, 1994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; 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Araya-Polo et al., 2018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). A variant of ANN called recurrent neural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network (RNN) has been used for full-waveform inversion (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 xml:space="preserve">Richardson, 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2018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). 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 xml:space="preserve">Chen et al. (2019)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applied iterative deep neural networks (DNN)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to inverse seismic wavelet and reflectivity. To make network more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perfect, the training process requires to have a sufficient amount of valid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labeled data (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Goodfellow et al., 2016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; 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Dai et al., 2019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). ANN has a huge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development in the field of image, partly because it is easy to get valid </w:t>
      </w:r>
    </w:p>
    <w:p>
      <w:pPr>
        <w:autoSpaceDN w:val="0"/>
        <w:autoSpaceDE w:val="0"/>
        <w:widowControl/>
        <w:spacing w:line="234" w:lineRule="exact" w:before="374" w:after="0"/>
        <w:ind w:left="102" w:right="0" w:firstLine="0"/>
        <w:jc w:val="left"/>
      </w:pP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t xml:space="preserve">* Corresponding author. </w:t>
      </w:r>
    </w:p>
    <w:p>
      <w:pPr>
        <w:autoSpaceDN w:val="0"/>
        <w:autoSpaceDE w:val="0"/>
        <w:widowControl/>
        <w:spacing w:line="234" w:lineRule="exact" w:before="0" w:after="0"/>
        <w:ind w:left="240" w:right="0" w:firstLine="0"/>
        <w:jc w:val="left"/>
      </w:pPr>
      <w:r>
        <w:rPr>
          <w:w w:val="102.47142655508858"/>
          <w:rFonts w:ascii="CharisSIL" w:hAnsi="CharisSIL" w:eastAsia="CharisSIL"/>
          <w:b w:val="0"/>
          <w:i/>
          <w:color w:val="000000"/>
          <w:sz w:val="14"/>
        </w:rPr>
        <w:t xml:space="preserve">E-mail address: </w:t>
      </w:r>
      <w:r>
        <w:rPr>
          <w:w w:val="102.47142655508858"/>
          <w:rFonts w:ascii="CharisSIL" w:hAnsi="CharisSIL" w:eastAsia="CharisSIL"/>
          <w:b w:val="0"/>
          <w:i w:val="0"/>
          <w:color w:val="2196D1"/>
          <w:sz w:val="14"/>
        </w:rPr>
        <w:hyperlink r:id="rId11" w:history="1">
          <w:r>
            <w:rPr>
              <w:rStyle w:val="Hyperlink"/>
            </w:rPr>
            <w:t>ting.chen.seven@gmail.com</w:t>
          </w:r>
        </w:hyperlink>
      </w:r>
      <w:r>
        <w:rPr>
          <w:w w:val="102.47142655508858"/>
          <w:rFonts w:ascii="CharisSIL" w:hAnsi="CharisSIL" w:eastAsia="CharisSIL"/>
          <w:b w:val="0"/>
          <w:i w:val="0"/>
          <w:color w:val="2196D1"/>
          <w:sz w:val="14"/>
        </w:rPr>
        <w:t xml:space="preserve"> </w:t>
      </w: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t xml:space="preserve">(T. Chen). </w:t>
      </w:r>
    </w:p>
    <w:p>
      <w:pPr>
        <w:sectPr>
          <w:type w:val="continuous"/>
          <w:pgSz w:w="11906" w:h="15874"/>
          <w:pgMar w:top="334" w:right="686" w:bottom="496" w:left="750" w:header="720" w:footer="720" w:gutter="0"/>
          <w:cols w:space="720" w:num="2" w:equalWidth="0">
            <w:col w:w="5226" w:space="0"/>
            <w:col w:w="5244" w:space="0"/>
            <w:col w:w="10470" w:space="0"/>
          </w:cols>
          <w:docGrid w:linePitch="360"/>
        </w:sectPr>
      </w:pPr>
    </w:p>
    <w:p>
      <w:pPr>
        <w:autoSpaceDN w:val="0"/>
        <w:autoSpaceDE w:val="0"/>
        <w:widowControl/>
        <w:spacing w:line="210" w:lineRule="exact" w:before="50" w:after="0"/>
        <w:ind w:left="156" w:right="0" w:firstLine="0"/>
        <w:jc w:val="left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labeled data in this field, but it is very expensive to get in the field of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geophysics. To alleviate the problem of scarce samples, adding con-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straints to the ANN inversion framework to improve network general-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ization ability has become the choice of many researchers. For example,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 ANN framework with initial models as constraints (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 xml:space="preserve">Zhang et al., 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2021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); A convolution neural network (CNN) employing a physics-guided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approach and data drive (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Biswas et al., 2019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; 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Sun et al., 2021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). 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 xml:space="preserve">Song 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 xml:space="preserve">et al. (2022)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proposed an inversion framework based on semi-supervised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learning. In this work, we employ another ANN learning architecture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named FSL for high resolution pre-stack seismic inversion of reservoir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parameters. </w:t>
      </w:r>
    </w:p>
    <w:p>
      <w:pPr>
        <w:autoSpaceDN w:val="0"/>
        <w:autoSpaceDE w:val="0"/>
        <w:widowControl/>
        <w:spacing w:line="210" w:lineRule="exact" w:before="50" w:after="906"/>
        <w:ind w:left="156" w:right="0" w:firstLine="240"/>
        <w:jc w:val="left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The ANN algorithms usually require hundreds or thousands of su-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pervised samples to ensure generalization ability (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Lu et al., 2020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).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FSL is significant and challenging in the field of ANN. Due to the mature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mathematical principle, conventional inversion method could integrate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well log and seismic data in reasonable good manner. The results of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conventional inversion are used to construct the auxiliary dataset, and a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few of accurate well log is regarded as the scarce training dataset. In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order to adapt to the characteristics of ANN seismic inversion with large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amount data but few labeled samples, we create a new A-Net architec-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ture to implement the method. This network firstly increases the number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of the convolution kernel layer by layer to enlarge the feature quantity,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and then reduces the number of the convolution kernel to extract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high-dimensional features. FSL can still achieve a satisfactory result with </w:t>
      </w:r>
    </w:p>
    <w:p>
      <w:pPr>
        <w:sectPr>
          <w:type w:val="nextColumn"/>
          <w:pgSz w:w="11906" w:h="15874"/>
          <w:pgMar w:top="334" w:right="686" w:bottom="496" w:left="750" w:header="720" w:footer="720" w:gutter="0"/>
          <w:cols w:space="720" w:num="2" w:equalWidth="0">
            <w:col w:w="5226" w:space="0"/>
            <w:col w:w="5244" w:space="0"/>
            <w:col w:w="10470" w:space="0"/>
          </w:cols>
          <w:docGrid w:linePitch="360"/>
        </w:sectPr>
      </w:pPr>
    </w:p>
    <w:p>
      <w:pPr>
        <w:autoSpaceDN w:val="0"/>
        <w:autoSpaceDE w:val="0"/>
        <w:widowControl/>
        <w:spacing w:line="184" w:lineRule="exact" w:before="50" w:after="0"/>
        <w:ind w:left="0" w:right="0" w:firstLine="0"/>
        <w:jc w:val="left"/>
      </w:pPr>
      <w:r>
        <w:rPr>
          <w:w w:val="102.47142655508858"/>
          <w:rFonts w:ascii="CharisSIL" w:hAnsi="CharisSIL" w:eastAsia="CharisSIL"/>
          <w:b w:val="0"/>
          <w:i w:val="0"/>
          <w:color w:val="2196D1"/>
          <w:sz w:val="14"/>
        </w:rPr>
        <w:hyperlink r:id="rId9" w:history="1">
          <w:r>
            <w:rPr>
              <w:rStyle w:val="Hyperlink"/>
            </w:rPr>
            <w:t>https://doi.org/10.1016/j.aiig.2022.12.004</w:t>
          </w:r>
        </w:hyperlink>
      </w:r>
      <w:r>
        <w:rPr>
          <w:w w:val="102.47142655508858"/>
          <w:rFonts w:ascii="CharisSIL" w:hAnsi="CharisSIL" w:eastAsia="CharisSIL"/>
          <w:b w:val="0"/>
          <w:i w:val="0"/>
          <w:color w:val="2196D1"/>
          <w:sz w:val="14"/>
        </w:rPr>
        <w:t xml:space="preserve"> </w:t>
      </w:r>
      <w:r>
        <w:br/>
      </w: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hyperlink r:id="rId9" w:history="1">
          <w:r>
            <w:rPr>
              <w:rStyle w:val="Hyperlink"/>
            </w:rPr>
            <w:t>Received 23 November 2022; Received in r</w:t>
          </w:r>
        </w:hyperlink>
      </w: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t xml:space="preserve">evised form 27 December 2022; Accepted 27 December 2022 </w:t>
      </w:r>
      <w:r>
        <w:br/>
      </w: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t xml:space="preserve">Available online 31 December 2022 </w:t>
      </w:r>
      <w:r>
        <w:br/>
      </w: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t>2666-5441/© 2022</w:t>
      </w: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hyperlink r:id="rId12" w:history="1">
          <w:r>
            <w:rPr>
              <w:rStyle w:val="Hyperlink"/>
            </w:rPr>
            <w:t xml:space="preserve"> The Authors. Publishing services by Elsevier B.V.</w:t>
          </w:r>
        </w:hyperlink>
      </w: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t xml:space="preserve"> on behalf of KeAi Communications Co. Ltd. This is an open access article under the CC </w:t>
      </w: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t>BY-NC-ND license (</w:t>
      </w:r>
      <w:r>
        <w:rPr>
          <w:w w:val="102.47142655508858"/>
          <w:rFonts w:ascii="CharisSIL" w:hAnsi="CharisSIL" w:eastAsia="CharisSIL"/>
          <w:b w:val="0"/>
          <w:i w:val="0"/>
          <w:color w:val="09769F"/>
          <w:sz w:val="14"/>
        </w:rPr>
        <w:hyperlink r:id="rId12" w:history="1">
          <w:r>
            <w:rPr>
              <w:rStyle w:val="Hyperlink"/>
            </w:rPr>
            <w:t>http://creativecommons.org/licenses/by-nc-nd/4.0/</w:t>
          </w:r>
        </w:hyperlink>
      </w: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t>).</w:t>
      </w:r>
    </w:p>
    <w:p>
      <w:pPr>
        <w:sectPr>
          <w:type w:val="continuous"/>
          <w:pgSz w:w="11906" w:h="15874"/>
          <w:pgMar w:top="334" w:right="686" w:bottom="496" w:left="750" w:header="720" w:footer="720" w:gutter="0"/>
          <w:cols w:space="720" w:num="1" w:equalWidth="0">
            <w:col w:w="10470" w:space="0"/>
            <w:col w:w="5226" w:space="0"/>
            <w:col w:w="5244" w:space="0"/>
            <w:col w:w="1047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6"/>
        <w:ind w:left="0" w:right="0"/>
      </w:pPr>
    </w:p>
    <w:p>
      <w:pPr>
        <w:autoSpaceDN w:val="0"/>
        <w:tabs>
          <w:tab w:pos="7450" w:val="left"/>
        </w:tabs>
        <w:autoSpaceDE w:val="0"/>
        <w:widowControl/>
        <w:spacing w:line="210" w:lineRule="exact" w:before="0" w:after="0"/>
        <w:ind w:left="0" w:right="0" w:firstLine="0"/>
        <w:jc w:val="left"/>
      </w:pPr>
      <w:r>
        <w:rPr>
          <w:w w:val="98.09076602642352"/>
          <w:rFonts w:ascii="CharisSIL" w:hAnsi="CharisSIL" w:eastAsia="CharisSIL"/>
          <w:b w:val="0"/>
          <w:i/>
          <w:color w:val="000000"/>
          <w:sz w:val="13"/>
        </w:rPr>
        <w:t xml:space="preserve">T. Chen et al. </w:t>
      </w:r>
      <w:r>
        <w:tab/>
      </w:r>
      <w:r>
        <w:rPr>
          <w:w w:val="98.09230657724234"/>
          <w:rFonts w:ascii="CharisSIL" w:hAnsi="CharisSIL" w:eastAsia="CharisSIL"/>
          <w:b w:val="0"/>
          <w:i/>
          <w:color w:val="000000"/>
          <w:sz w:val="13"/>
        </w:rPr>
        <w:t>Artificial Intelligence in Geosciences 3 (2022) 203–208</w:t>
      </w:r>
    </w:p>
    <w:p>
      <w:pPr>
        <w:autoSpaceDN w:val="0"/>
        <w:autoSpaceDE w:val="0"/>
        <w:widowControl/>
        <w:spacing w:line="240" w:lineRule="auto" w:before="226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416550" cy="282702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16550" cy="28270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36" w:lineRule="exact" w:before="132" w:after="0"/>
        <w:ind w:left="0" w:right="0" w:firstLine="0"/>
        <w:jc w:val="center"/>
      </w:pPr>
      <w:r>
        <w:rPr>
          <w:w w:val="102.47142655508858"/>
          <w:rFonts w:ascii="CharisSIL" w:hAnsi="CharisSIL" w:eastAsia="CharisSIL"/>
          <w:b/>
          <w:i w:val="0"/>
          <w:color w:val="000000"/>
          <w:sz w:val="14"/>
        </w:rPr>
        <w:t>Fig. 1.</w:t>
      </w: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t xml:space="preserve"> The framework of the proposed method. </w:t>
      </w:r>
    </w:p>
    <w:p>
      <w:pPr>
        <w:autoSpaceDN w:val="0"/>
        <w:autoSpaceDE w:val="0"/>
        <w:widowControl/>
        <w:spacing w:line="240" w:lineRule="auto" w:before="402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696460" cy="2599690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696460" cy="25996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90" w:lineRule="exact" w:before="178" w:after="410"/>
        <w:ind w:left="0" w:right="0" w:firstLine="0"/>
        <w:jc w:val="left"/>
      </w:pPr>
      <w:r>
        <w:rPr>
          <w:w w:val="102.47142655508858"/>
          <w:rFonts w:ascii="CharisSIL" w:hAnsi="CharisSIL" w:eastAsia="CharisSIL"/>
          <w:b/>
          <w:i w:val="0"/>
          <w:color w:val="000000"/>
          <w:sz w:val="14"/>
        </w:rPr>
        <w:t>Fig. 2.</w:t>
      </w: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t xml:space="preserve"> A-Net architecture for pre-stack seismic inversion. The pre-stack seismic angle gathers is the input of the network and the reservoir parameters curve </w:t>
      </w:r>
      <w:r>
        <w:rPr>
          <w:w w:val="102.47142655508858"/>
          <w:rFonts w:ascii="CharisSIL" w:hAnsi="CharisSIL" w:eastAsia="CharisSIL"/>
          <w:b w:val="0"/>
          <w:i/>
          <w:color w:val="000000"/>
          <w:sz w:val="14"/>
        </w:rPr>
        <w:t>Vp</w:t>
      </w: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t xml:space="preserve">, </w:t>
      </w:r>
      <w:r>
        <w:rPr>
          <w:w w:val="102.47142655508858"/>
          <w:rFonts w:ascii="CharisSIL" w:hAnsi="CharisSIL" w:eastAsia="CharisSIL"/>
          <w:b w:val="0"/>
          <w:i/>
          <w:color w:val="000000"/>
          <w:sz w:val="14"/>
        </w:rPr>
        <w:t xml:space="preserve">Vs </w:t>
      </w: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t xml:space="preserve">and </w:t>
      </w:r>
      <w:r>
        <w:rPr>
          <w:w w:val="98.93072128295898"/>
          <w:rFonts w:ascii="STIX" w:hAnsi="STIX" w:eastAsia="STIX"/>
          <w:b w:val="0"/>
          <w:i/>
          <w:color w:val="000000"/>
          <w:sz w:val="15"/>
        </w:rPr>
        <w:t xml:space="preserve">ρ </w:t>
      </w: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t xml:space="preserve">is the output, that compare with prepared or true well log. </w:t>
      </w:r>
    </w:p>
    <w:p>
      <w:pPr>
        <w:sectPr>
          <w:pgSz w:w="11906" w:h="15874"/>
          <w:pgMar w:top="336" w:right="686" w:bottom="288" w:left="752" w:header="720" w:footer="720" w:gutter="0"/>
          <w:cols w:space="720" w:num="1" w:equalWidth="0">
            <w:col w:w="10468" w:space="0"/>
            <w:col w:w="10470" w:space="0"/>
            <w:col w:w="5226" w:space="0"/>
            <w:col w:w="5244" w:space="0"/>
            <w:col w:w="10470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3149600" cy="1097279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149600" cy="109727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92" w:lineRule="exact" w:before="174" w:after="0"/>
        <w:ind w:left="0" w:right="20" w:firstLine="0"/>
        <w:jc w:val="both"/>
      </w:pPr>
      <w:r>
        <w:rPr>
          <w:w w:val="102.47142655508858"/>
          <w:rFonts w:ascii="CharisSIL" w:hAnsi="CharisSIL" w:eastAsia="CharisSIL"/>
          <w:b/>
          <w:i w:val="0"/>
          <w:color w:val="000000"/>
          <w:sz w:val="14"/>
        </w:rPr>
        <w:t>Fig. 3.</w:t>
      </w: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t xml:space="preserve"> The convolutional unit architecture. Input is the pre-stack seismic angle </w:t>
      </w: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t xml:space="preserve">gathers or an output from a previous unit, and output is the input to the </w:t>
      </w: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t xml:space="preserve">next unit. </w:t>
      </w:r>
    </w:p>
    <w:p>
      <w:pPr>
        <w:autoSpaceDN w:val="0"/>
        <w:autoSpaceDE w:val="0"/>
        <w:widowControl/>
        <w:spacing w:line="208" w:lineRule="exact" w:before="248" w:after="0"/>
        <w:ind w:left="0" w:right="16" w:firstLine="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few samples. This method is successfully applied to a filed data set from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northwest of China by effectively improving the resolution of inversion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results. </w:t>
      </w:r>
    </w:p>
    <w:p>
      <w:pPr>
        <w:sectPr>
          <w:type w:val="continuous"/>
          <w:pgSz w:w="11906" w:h="15874"/>
          <w:pgMar w:top="336" w:right="686" w:bottom="288" w:left="752" w:header="720" w:footer="720" w:gutter="0"/>
          <w:cols w:space="720" w:num="2" w:equalWidth="0">
            <w:col w:w="5084" w:space="0"/>
            <w:col w:w="5384" w:space="0"/>
            <w:col w:w="10468" w:space="0"/>
            <w:col w:w="10470" w:space="0"/>
            <w:col w:w="5226" w:space="0"/>
            <w:col w:w="5244" w:space="0"/>
            <w:col w:w="10470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16" w:right="0" w:firstLine="0"/>
        <w:jc w:val="left"/>
      </w:pPr>
      <w:r>
        <w:rPr>
          <w:w w:val="98.09230657724234"/>
          <w:rFonts w:ascii="CharisSIL" w:hAnsi="CharisSIL" w:eastAsia="CharisSIL"/>
          <w:b w:val="0"/>
          <w:i w:val="0"/>
          <w:color w:val="000000"/>
          <w:sz w:val="13"/>
        </w:rPr>
        <w:t>204</w:t>
      </w:r>
    </w:p>
    <w:p>
      <w:pPr>
        <w:sectPr>
          <w:type w:val="nextColumn"/>
          <w:pgSz w:w="11906" w:h="15874"/>
          <w:pgMar w:top="336" w:right="686" w:bottom="288" w:left="752" w:header="720" w:footer="720" w:gutter="0"/>
          <w:cols w:space="720" w:num="2" w:equalWidth="0">
            <w:col w:w="5084" w:space="0"/>
            <w:col w:w="5384" w:space="0"/>
            <w:col w:w="10468" w:space="0"/>
            <w:col w:w="10470" w:space="0"/>
            <w:col w:w="5226" w:space="0"/>
            <w:col w:w="5244" w:space="0"/>
            <w:col w:w="1047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6"/>
        <w:ind w:left="0" w:right="0"/>
      </w:pPr>
    </w:p>
    <w:p>
      <w:pPr>
        <w:autoSpaceDN w:val="0"/>
        <w:tabs>
          <w:tab w:pos="7450" w:val="left"/>
        </w:tabs>
        <w:autoSpaceDE w:val="0"/>
        <w:widowControl/>
        <w:spacing w:line="210" w:lineRule="exact" w:before="0" w:after="0"/>
        <w:ind w:left="0" w:right="0" w:firstLine="0"/>
        <w:jc w:val="left"/>
      </w:pPr>
      <w:r>
        <w:rPr>
          <w:w w:val="98.09076602642352"/>
          <w:rFonts w:ascii="CharisSIL" w:hAnsi="CharisSIL" w:eastAsia="CharisSIL"/>
          <w:b w:val="0"/>
          <w:i/>
          <w:color w:val="000000"/>
          <w:sz w:val="13"/>
        </w:rPr>
        <w:t xml:space="preserve">T. Chen et al. </w:t>
      </w:r>
      <w:r>
        <w:tab/>
      </w:r>
      <w:r>
        <w:rPr>
          <w:w w:val="98.09230657724234"/>
          <w:rFonts w:ascii="CharisSIL" w:hAnsi="CharisSIL" w:eastAsia="CharisSIL"/>
          <w:b w:val="0"/>
          <w:i/>
          <w:color w:val="000000"/>
          <w:sz w:val="13"/>
        </w:rPr>
        <w:t>Artificial Intelligence in Geosciences 3 (2022) 203–208</w:t>
      </w:r>
    </w:p>
    <w:p>
      <w:pPr>
        <w:autoSpaceDN w:val="0"/>
        <w:autoSpaceDE w:val="0"/>
        <w:widowControl/>
        <w:spacing w:line="240" w:lineRule="auto" w:before="226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055870" cy="3134360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55870" cy="3134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36" w:lineRule="exact" w:before="132" w:after="0"/>
        <w:ind w:left="0" w:right="0" w:firstLine="0"/>
        <w:jc w:val="center"/>
      </w:pPr>
      <w:r>
        <w:rPr>
          <w:w w:val="102.47142655508858"/>
          <w:rFonts w:ascii="CharisSIL" w:hAnsi="CharisSIL" w:eastAsia="CharisSIL"/>
          <w:b/>
          <w:i w:val="0"/>
          <w:color w:val="000000"/>
          <w:sz w:val="14"/>
        </w:rPr>
        <w:t>Fig. 4.</w:t>
      </w: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t xml:space="preserve"> Post-stack and pre-stack seismic via various angles. (a) post-stack seismic data set; (b) near angle-stack seismic data set; (c) middle angle-stack seismic data </w:t>
      </w:r>
    </w:p>
    <w:p>
      <w:pPr>
        <w:autoSpaceDN w:val="0"/>
        <w:autoSpaceDE w:val="0"/>
        <w:widowControl/>
        <w:spacing w:line="234" w:lineRule="exact" w:before="0" w:after="484"/>
        <w:ind w:left="0" w:right="0" w:firstLine="0"/>
        <w:jc w:val="left"/>
      </w:pP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t xml:space="preserve">set; (d) far angle-stack seismic data set. </w:t>
      </w:r>
    </w:p>
    <w:p>
      <w:pPr>
        <w:sectPr>
          <w:pgSz w:w="11906" w:h="15874"/>
          <w:pgMar w:top="336" w:right="686" w:bottom="288" w:left="752" w:header="720" w:footer="720" w:gutter="0"/>
          <w:cols w:space="720" w:num="1" w:equalWidth="0">
            <w:col w:w="10468" w:space="0"/>
            <w:col w:w="5084" w:space="0"/>
            <w:col w:w="5384" w:space="0"/>
            <w:col w:w="10468" w:space="0"/>
            <w:col w:w="10470" w:space="0"/>
            <w:col w:w="5226" w:space="0"/>
            <w:col w:w="5244" w:space="0"/>
            <w:col w:w="10470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2176780" cy="3079749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176780" cy="307974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92" w:lineRule="exact" w:before="174" w:after="0"/>
        <w:ind w:left="0" w:right="0" w:firstLine="0"/>
        <w:jc w:val="left"/>
      </w:pPr>
      <w:r>
        <w:rPr>
          <w:w w:val="102.47142655508858"/>
          <w:rFonts w:ascii="CharisSIL" w:hAnsi="CharisSIL" w:eastAsia="CharisSIL"/>
          <w:b/>
          <w:i w:val="0"/>
          <w:color w:val="000000"/>
          <w:sz w:val="14"/>
        </w:rPr>
        <w:t>Fig. 5.</w:t>
      </w: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t xml:space="preserve"> Log analysis of well. The red rectangle in the plot is the location of the </w:t>
      </w: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t xml:space="preserve">TII0 gas formation. </w:t>
      </w:r>
    </w:p>
    <w:p>
      <w:pPr>
        <w:autoSpaceDN w:val="0"/>
        <w:autoSpaceDE w:val="0"/>
        <w:widowControl/>
        <w:spacing w:line="208" w:lineRule="exact" w:before="246" w:after="0"/>
        <w:ind w:left="0" w:right="16" w:firstLine="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hidden relationship between pre-stack seismic data and reservoir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parameters can be learned by neural network. As shown in the top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dotted box of 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Fig. 1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, the predicted output of the network is compared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with prepared label. We use the mean square error (MSE) as the loss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function to measure the distance between the outputs and the labels. </w:t>
      </w:r>
    </w:p>
    <w:p>
      <w:pPr>
        <w:autoSpaceDN w:val="0"/>
        <w:autoSpaceDE w:val="0"/>
        <w:widowControl/>
        <w:spacing w:line="260" w:lineRule="exact" w:before="224" w:after="0"/>
        <w:ind w:left="0" w:right="0" w:firstLine="0"/>
        <w:jc w:val="left"/>
      </w:pPr>
      <w:r>
        <w:rPr>
          <w:rFonts w:ascii="CharisSIL" w:hAnsi="CharisSIL" w:eastAsia="CharisSIL"/>
          <w:b w:val="0"/>
          <w:i/>
          <w:color w:val="000000"/>
          <w:sz w:val="16"/>
        </w:rPr>
        <w:t xml:space="preserve">2.2. Step 2: Re-training for application </w:t>
      </w:r>
    </w:p>
    <w:p>
      <w:pPr>
        <w:autoSpaceDN w:val="0"/>
        <w:autoSpaceDE w:val="0"/>
        <w:widowControl/>
        <w:spacing w:line="210" w:lineRule="exact" w:before="208" w:after="0"/>
        <w:ind w:left="0" w:right="0" w:firstLine="238"/>
        <w:jc w:val="left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When the pre-training step is completed, the trained network is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retrained using the well log. The workflow is shown in the bottom box of </w:t>
      </w:r>
    </w:p>
    <w:p>
      <w:pPr>
        <w:sectPr>
          <w:type w:val="continuous"/>
          <w:pgSz w:w="11906" w:h="15874"/>
          <w:pgMar w:top="336" w:right="686" w:bottom="288" w:left="752" w:header="720" w:footer="720" w:gutter="0"/>
          <w:cols w:space="720" w:num="2" w:equalWidth="0">
            <w:col w:w="5084" w:space="0"/>
            <w:col w:w="5384" w:space="0"/>
            <w:col w:w="10468" w:space="0"/>
            <w:col w:w="5084" w:space="0"/>
            <w:col w:w="5384" w:space="0"/>
            <w:col w:w="10468" w:space="0"/>
            <w:col w:w="10470" w:space="0"/>
            <w:col w:w="5226" w:space="0"/>
            <w:col w:w="5244" w:space="0"/>
            <w:col w:w="10470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16" w:right="0" w:firstLine="0"/>
        <w:jc w:val="left"/>
      </w:pPr>
      <w:r>
        <w:rPr>
          <w:w w:val="98.09230657724234"/>
          <w:rFonts w:ascii="CharisSIL" w:hAnsi="CharisSIL" w:eastAsia="CharisSIL"/>
          <w:b w:val="0"/>
          <w:i w:val="0"/>
          <w:color w:val="000000"/>
          <w:sz w:val="13"/>
        </w:rPr>
        <w:t>205</w:t>
      </w:r>
    </w:p>
    <w:p>
      <w:pPr>
        <w:sectPr>
          <w:type w:val="nextColumn"/>
          <w:pgSz w:w="11906" w:h="15874"/>
          <w:pgMar w:top="336" w:right="686" w:bottom="288" w:left="752" w:header="720" w:footer="720" w:gutter="0"/>
          <w:cols w:space="720" w:num="2" w:equalWidth="0">
            <w:col w:w="5084" w:space="0"/>
            <w:col w:w="5384" w:space="0"/>
            <w:col w:w="10468" w:space="0"/>
            <w:col w:w="5084" w:space="0"/>
            <w:col w:w="5384" w:space="0"/>
            <w:col w:w="10468" w:space="0"/>
            <w:col w:w="10470" w:space="0"/>
            <w:col w:w="5226" w:space="0"/>
            <w:col w:w="5244" w:space="0"/>
            <w:col w:w="1047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6"/>
        <w:ind w:left="0" w:right="0"/>
      </w:pPr>
    </w:p>
    <w:p>
      <w:pPr>
        <w:autoSpaceDN w:val="0"/>
        <w:tabs>
          <w:tab w:pos="7450" w:val="left"/>
        </w:tabs>
        <w:autoSpaceDE w:val="0"/>
        <w:widowControl/>
        <w:spacing w:line="210" w:lineRule="exact" w:before="0" w:after="0"/>
        <w:ind w:left="0" w:right="0" w:firstLine="0"/>
        <w:jc w:val="left"/>
      </w:pPr>
      <w:r>
        <w:rPr>
          <w:w w:val="98.09076602642352"/>
          <w:rFonts w:ascii="CharisSIL" w:hAnsi="CharisSIL" w:eastAsia="CharisSIL"/>
          <w:b w:val="0"/>
          <w:i/>
          <w:color w:val="000000"/>
          <w:sz w:val="13"/>
        </w:rPr>
        <w:t xml:space="preserve">T. Chen et al. </w:t>
      </w:r>
      <w:r>
        <w:tab/>
      </w:r>
      <w:r>
        <w:rPr>
          <w:w w:val="98.09230657724234"/>
          <w:rFonts w:ascii="CharisSIL" w:hAnsi="CharisSIL" w:eastAsia="CharisSIL"/>
          <w:b w:val="0"/>
          <w:i/>
          <w:color w:val="000000"/>
          <w:sz w:val="13"/>
        </w:rPr>
        <w:t>Artificial Intelligence in Geosciences 3 (2022) 203–208</w:t>
      </w:r>
    </w:p>
    <w:p>
      <w:pPr>
        <w:autoSpaceDN w:val="0"/>
        <w:autoSpaceDE w:val="0"/>
        <w:widowControl/>
        <w:spacing w:line="240" w:lineRule="auto" w:before="226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134100" cy="1236980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34100" cy="12369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36" w:lineRule="exact" w:before="130" w:after="0"/>
        <w:ind w:left="0" w:right="0" w:firstLine="0"/>
        <w:jc w:val="center"/>
      </w:pPr>
      <w:r>
        <w:rPr>
          <w:w w:val="102.47142655508858"/>
          <w:rFonts w:ascii="CharisSIL" w:hAnsi="CharisSIL" w:eastAsia="CharisSIL"/>
          <w:b/>
          <w:i w:val="0"/>
          <w:color w:val="000000"/>
          <w:sz w:val="14"/>
        </w:rPr>
        <w:t>Fig. 6.</w:t>
      </w: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t xml:space="preserve"> The conventional inversion results of reservoir parameters. (a) </w:t>
      </w:r>
      <w:r>
        <w:rPr>
          <w:w w:val="102.47142655508858"/>
          <w:rFonts w:ascii="CharisSIL" w:hAnsi="CharisSIL" w:eastAsia="CharisSIL"/>
          <w:b w:val="0"/>
          <w:i/>
          <w:color w:val="000000"/>
          <w:sz w:val="14"/>
        </w:rPr>
        <w:t>Vp</w:t>
      </w: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t xml:space="preserve">; (b) </w:t>
      </w:r>
      <w:r>
        <w:rPr>
          <w:w w:val="102.47142655508858"/>
          <w:rFonts w:ascii="CharisSIL" w:hAnsi="CharisSIL" w:eastAsia="CharisSIL"/>
          <w:b w:val="0"/>
          <w:i/>
          <w:color w:val="000000"/>
          <w:sz w:val="14"/>
        </w:rPr>
        <w:t>Vs</w:t>
      </w: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t xml:space="preserve">; (c) </w:t>
      </w:r>
      <w:r>
        <w:rPr>
          <w:w w:val="98.93072128295898"/>
          <w:rFonts w:ascii="STIX" w:hAnsi="STIX" w:eastAsia="STIX"/>
          <w:b w:val="0"/>
          <w:i/>
          <w:color w:val="000000"/>
          <w:sz w:val="15"/>
        </w:rPr>
        <w:t>ρ</w:t>
      </w: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t xml:space="preserve">. </w:t>
      </w:r>
    </w:p>
    <w:p>
      <w:pPr>
        <w:autoSpaceDN w:val="0"/>
        <w:autoSpaceDE w:val="0"/>
        <w:widowControl/>
        <w:spacing w:line="240" w:lineRule="auto" w:before="396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134100" cy="1236980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34100" cy="12369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36" w:lineRule="exact" w:before="130" w:after="0"/>
        <w:ind w:left="0" w:right="0" w:firstLine="0"/>
        <w:jc w:val="center"/>
      </w:pPr>
      <w:r>
        <w:rPr>
          <w:w w:val="102.47142655508858"/>
          <w:rFonts w:ascii="CharisSIL" w:hAnsi="CharisSIL" w:eastAsia="CharisSIL"/>
          <w:b/>
          <w:i w:val="0"/>
          <w:color w:val="000000"/>
          <w:sz w:val="14"/>
        </w:rPr>
        <w:t>Fig. 7.</w:t>
      </w: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t xml:space="preserve"> The FSL high resolution inversion results of reservoir parameters. (a) </w:t>
      </w:r>
      <w:r>
        <w:rPr>
          <w:w w:val="102.47142655508858"/>
          <w:rFonts w:ascii="CharisSIL" w:hAnsi="CharisSIL" w:eastAsia="CharisSIL"/>
          <w:b w:val="0"/>
          <w:i/>
          <w:color w:val="000000"/>
          <w:sz w:val="14"/>
        </w:rPr>
        <w:t>Vp</w:t>
      </w: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t xml:space="preserve">; (b) </w:t>
      </w:r>
      <w:r>
        <w:rPr>
          <w:w w:val="102.47142655508858"/>
          <w:rFonts w:ascii="CharisSIL" w:hAnsi="CharisSIL" w:eastAsia="CharisSIL"/>
          <w:b w:val="0"/>
          <w:i/>
          <w:color w:val="000000"/>
          <w:sz w:val="14"/>
        </w:rPr>
        <w:t>Vs</w:t>
      </w: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t xml:space="preserve">; (c) </w:t>
      </w:r>
      <w:r>
        <w:rPr>
          <w:w w:val="98.93072128295898"/>
          <w:rFonts w:ascii="STIX" w:hAnsi="STIX" w:eastAsia="STIX"/>
          <w:b w:val="0"/>
          <w:i/>
          <w:color w:val="000000"/>
          <w:sz w:val="15"/>
        </w:rPr>
        <w:t>ρ</w:t>
      </w: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t xml:space="preserve">. </w:t>
      </w:r>
    </w:p>
    <w:p>
      <w:pPr>
        <w:autoSpaceDN w:val="0"/>
        <w:autoSpaceDE w:val="0"/>
        <w:widowControl/>
        <w:spacing w:line="240" w:lineRule="auto" w:before="396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055870" cy="1408430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55870" cy="140843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34" w:lineRule="exact" w:before="132" w:after="464"/>
        <w:ind w:left="0" w:right="0" w:firstLine="0"/>
        <w:jc w:val="center"/>
      </w:pPr>
      <w:r>
        <w:rPr>
          <w:w w:val="102.47142655508858"/>
          <w:rFonts w:ascii="CharisSIL" w:hAnsi="CharisSIL" w:eastAsia="CharisSIL"/>
          <w:b/>
          <w:i w:val="0"/>
          <w:color w:val="000000"/>
          <w:sz w:val="14"/>
        </w:rPr>
        <w:t>Fig. 8.</w:t>
      </w: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t xml:space="preserve"> The </w:t>
      </w:r>
      <w:r>
        <w:rPr>
          <w:w w:val="102.47142655508858"/>
          <w:rFonts w:ascii="CharisSIL" w:hAnsi="CharisSIL" w:eastAsia="CharisSIL"/>
          <w:b w:val="0"/>
          <w:i/>
          <w:color w:val="000000"/>
          <w:sz w:val="14"/>
        </w:rPr>
        <w:t>Vp</w:t>
      </w:r>
      <w:r>
        <w:rPr>
          <w:w w:val="102.47142655508858"/>
          <w:rFonts w:ascii="TeX_CM_Maths_Italic" w:hAnsi="TeX_CM_Maths_Italic" w:eastAsia="TeX_CM_Maths_Italic"/>
          <w:b w:val="0"/>
          <w:i/>
          <w:color w:val="000000"/>
          <w:sz w:val="14"/>
        </w:rPr>
        <w:t>/</w:t>
      </w:r>
      <w:r>
        <w:rPr>
          <w:w w:val="102.47142655508858"/>
          <w:rFonts w:ascii="CharisSIL" w:hAnsi="CharisSIL" w:eastAsia="CharisSIL"/>
          <w:b w:val="0"/>
          <w:i/>
          <w:color w:val="000000"/>
          <w:sz w:val="14"/>
        </w:rPr>
        <w:t xml:space="preserve">Vs </w:t>
      </w: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t xml:space="preserve">of reservoir parameters. (a) The conventional inversion results; (b) The FSL-based high resolution inversion results. </w:t>
      </w:r>
    </w:p>
    <w:p>
      <w:pPr>
        <w:sectPr>
          <w:pgSz w:w="11906" w:h="15874"/>
          <w:pgMar w:top="336" w:right="686" w:bottom="288" w:left="752" w:header="720" w:footer="720" w:gutter="0"/>
          <w:cols w:space="720" w:num="1" w:equalWidth="0">
            <w:col w:w="10468" w:space="0"/>
            <w:col w:w="5084" w:space="0"/>
            <w:col w:w="5384" w:space="0"/>
            <w:col w:w="10468" w:space="0"/>
            <w:col w:w="5084" w:space="0"/>
            <w:col w:w="5384" w:space="0"/>
            <w:col w:w="10468" w:space="0"/>
            <w:col w:w="10470" w:space="0"/>
            <w:col w:w="5226" w:space="0"/>
            <w:col w:w="5244" w:space="0"/>
            <w:col w:w="10470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2534919" cy="2830830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534919" cy="283083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92" w:lineRule="exact" w:before="174" w:after="0"/>
        <w:ind w:left="0" w:right="0" w:firstLine="0"/>
        <w:jc w:val="left"/>
      </w:pPr>
      <w:r>
        <w:rPr>
          <w:w w:val="102.47142655508858"/>
          <w:rFonts w:ascii="CharisSIL" w:hAnsi="CharisSIL" w:eastAsia="CharisSIL"/>
          <w:b/>
          <w:i w:val="0"/>
          <w:color w:val="000000"/>
          <w:sz w:val="14"/>
        </w:rPr>
        <w:t>Fig. 9.</w:t>
      </w: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t xml:space="preserve"> The </w:t>
      </w:r>
      <w:r>
        <w:rPr>
          <w:w w:val="102.47142655508858"/>
          <w:rFonts w:ascii="CharisSIL" w:hAnsi="CharisSIL" w:eastAsia="CharisSIL"/>
          <w:b w:val="0"/>
          <w:i/>
          <w:color w:val="000000"/>
          <w:sz w:val="14"/>
        </w:rPr>
        <w:t>Vp</w:t>
      </w:r>
      <w:r>
        <w:rPr>
          <w:w w:val="102.47142655508858"/>
          <w:rFonts w:ascii="TeX_CM_Maths_Italic" w:hAnsi="TeX_CM_Maths_Italic" w:eastAsia="TeX_CM_Maths_Italic"/>
          <w:b w:val="0"/>
          <w:i/>
          <w:color w:val="000000"/>
          <w:sz w:val="14"/>
        </w:rPr>
        <w:t>/</w:t>
      </w:r>
      <w:r>
        <w:rPr>
          <w:w w:val="102.47142655508858"/>
          <w:rFonts w:ascii="CharisSIL" w:hAnsi="CharisSIL" w:eastAsia="CharisSIL"/>
          <w:b w:val="0"/>
          <w:i/>
          <w:color w:val="000000"/>
          <w:sz w:val="14"/>
        </w:rPr>
        <w:t xml:space="preserve">Vs </w:t>
      </w: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t>of reservoir parameters. (a) The conventional inversion re-</w:t>
      </w: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t xml:space="preserve">sults; (b) The FSL-based high resolution inversion results. </w:t>
      </w:r>
    </w:p>
    <w:p>
      <w:pPr>
        <w:sectPr>
          <w:type w:val="continuous"/>
          <w:pgSz w:w="11906" w:h="15874"/>
          <w:pgMar w:top="336" w:right="686" w:bottom="288" w:left="752" w:header="720" w:footer="720" w:gutter="0"/>
          <w:cols w:space="720" w:num="2" w:equalWidth="0">
            <w:col w:w="5060" w:space="0"/>
            <w:col w:w="5408" w:space="0"/>
            <w:col w:w="10468" w:space="0"/>
            <w:col w:w="5084" w:space="0"/>
            <w:col w:w="5384" w:space="0"/>
            <w:col w:w="10468" w:space="0"/>
            <w:col w:w="5084" w:space="0"/>
            <w:col w:w="5384" w:space="0"/>
            <w:col w:w="10468" w:space="0"/>
            <w:col w:w="10470" w:space="0"/>
            <w:col w:w="5226" w:space="0"/>
            <w:col w:w="5244" w:space="0"/>
            <w:col w:w="10470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40" w:right="0" w:firstLine="0"/>
        <w:jc w:val="left"/>
      </w:pPr>
      <w:r>
        <w:rPr>
          <w:w w:val="98.09230657724234"/>
          <w:rFonts w:ascii="CharisSIL" w:hAnsi="CharisSIL" w:eastAsia="CharisSIL"/>
          <w:b w:val="0"/>
          <w:i w:val="0"/>
          <w:color w:val="000000"/>
          <w:sz w:val="13"/>
        </w:rPr>
        <w:t>206</w:t>
      </w:r>
    </w:p>
    <w:p>
      <w:pPr>
        <w:sectPr>
          <w:type w:val="nextColumn"/>
          <w:pgSz w:w="11906" w:h="15874"/>
          <w:pgMar w:top="336" w:right="686" w:bottom="288" w:left="752" w:header="720" w:footer="720" w:gutter="0"/>
          <w:cols w:space="720" w:num="2" w:equalWidth="0">
            <w:col w:w="5060" w:space="0"/>
            <w:col w:w="5408" w:space="0"/>
            <w:col w:w="10468" w:space="0"/>
            <w:col w:w="5084" w:space="0"/>
            <w:col w:w="5384" w:space="0"/>
            <w:col w:w="10468" w:space="0"/>
            <w:col w:w="5084" w:space="0"/>
            <w:col w:w="5384" w:space="0"/>
            <w:col w:w="10468" w:space="0"/>
            <w:col w:w="10470" w:space="0"/>
            <w:col w:w="5226" w:space="0"/>
            <w:col w:w="5244" w:space="0"/>
            <w:col w:w="1047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6"/>
        <w:ind w:left="0" w:right="0"/>
      </w:pPr>
    </w:p>
    <w:p>
      <w:pPr>
        <w:autoSpaceDN w:val="0"/>
        <w:tabs>
          <w:tab w:pos="7450" w:val="left"/>
        </w:tabs>
        <w:autoSpaceDE w:val="0"/>
        <w:widowControl/>
        <w:spacing w:line="210" w:lineRule="exact" w:before="0" w:after="144"/>
        <w:ind w:left="0" w:right="0" w:firstLine="0"/>
        <w:jc w:val="left"/>
      </w:pPr>
      <w:r>
        <w:rPr>
          <w:w w:val="98.09076602642352"/>
          <w:rFonts w:ascii="CharisSIL" w:hAnsi="CharisSIL" w:eastAsia="CharisSIL"/>
          <w:b w:val="0"/>
          <w:i/>
          <w:color w:val="000000"/>
          <w:sz w:val="13"/>
        </w:rPr>
        <w:t xml:space="preserve">T. Chen et al. </w:t>
      </w:r>
      <w:r>
        <w:tab/>
      </w:r>
      <w:r>
        <w:rPr>
          <w:w w:val="98.09230657724234"/>
          <w:rFonts w:ascii="CharisSIL" w:hAnsi="CharisSIL" w:eastAsia="CharisSIL"/>
          <w:b w:val="0"/>
          <w:i/>
          <w:color w:val="000000"/>
          <w:sz w:val="13"/>
        </w:rPr>
        <w:t>Artificial Intelligence in Geosciences 3 (2022) 203–208</w:t>
      </w:r>
    </w:p>
    <w:p>
      <w:pPr>
        <w:sectPr>
          <w:pgSz w:w="11906" w:h="15874"/>
          <w:pgMar w:top="336" w:right="686" w:bottom="288" w:left="752" w:header="720" w:footer="720" w:gutter="0"/>
          <w:cols w:space="720" w:num="1" w:equalWidth="0">
            <w:col w:w="10468" w:space="0"/>
            <w:col w:w="5060" w:space="0"/>
            <w:col w:w="5408" w:space="0"/>
            <w:col w:w="10468" w:space="0"/>
            <w:col w:w="5084" w:space="0"/>
            <w:col w:w="5384" w:space="0"/>
            <w:col w:w="10468" w:space="0"/>
            <w:col w:w="5084" w:space="0"/>
            <w:col w:w="5384" w:space="0"/>
            <w:col w:w="10468" w:space="0"/>
            <w:col w:w="10470" w:space="0"/>
            <w:col w:w="5226" w:space="0"/>
            <w:col w:w="5244" w:space="0"/>
            <w:col w:w="10470" w:space="0"/>
          </w:cols>
          <w:docGrid w:linePitch="360"/>
        </w:sectPr>
      </w:pPr>
    </w:p>
    <w:p>
      <w:pPr>
        <w:autoSpaceDN w:val="0"/>
        <w:autoSpaceDE w:val="0"/>
        <w:widowControl/>
        <w:spacing w:line="210" w:lineRule="exact" w:before="50" w:after="0"/>
        <w:ind w:left="0" w:right="0" w:firstLine="0"/>
        <w:jc w:val="left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trace with a sampling rate of 1 ms. The dominant frequency of seismic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data is 40 Hz with an effective frequency band of 8</w:t>
      </w:r>
      <w:r>
        <w:rPr>
          <w:rFonts w:ascii="STIX" w:hAnsi="STIX" w:eastAsia="STIX"/>
          <w:b w:val="0"/>
          <w:i w:val="0"/>
          <w:color w:val="000000"/>
          <w:sz w:val="16"/>
        </w:rPr>
        <w:t>–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49 Hz. The target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reservoir is TII0, a thin gas formation of Triassic located between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shore-shallow lake mudstone and the TII thick sandstone below.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distribution of lithology is inferred from GR and SP curves in well data.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shore-shallow lake mudstone formation is stable, and its thickness is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about 30</w:t>
      </w:r>
      <w:r>
        <w:rPr>
          <w:rFonts w:ascii="STIX" w:hAnsi="STIX" w:eastAsia="STIX"/>
          <w:b w:val="0"/>
          <w:i w:val="0"/>
          <w:color w:val="000000"/>
          <w:sz w:val="16"/>
        </w:rPr>
        <w:t>–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48 m. TII0 gas formation has the characteristics of large buried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depth (more than 4700 m) and uneven transverse distribution with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thickness is between 1 and 4.5 m. A mudstone intercalation between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TII0 and the lower TII sandstone has an uneven transverse of distribu-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tion thickness (3</w:t>
      </w:r>
      <w:r>
        <w:rPr>
          <w:rFonts w:ascii="STIX" w:hAnsi="STIX" w:eastAsia="STIX"/>
          <w:b w:val="0"/>
          <w:i w:val="0"/>
          <w:color w:val="000000"/>
          <w:sz w:val="16"/>
        </w:rPr>
        <w:t>–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8 m), locally thickness exceeding 10 m. 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 xml:space="preserve">Fig. 4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shows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post-stack and angle-stack seismic data from near to far. The reservoir is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sandstone with a small thickness and poor signal-noise ratio (SNR) of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pre-stack 3D seismic data. As shown in 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Fig. 5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, we display the proportion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of lithology obtained from well log analysis. The yellow and gray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coatings in the Figure represent the composition of sandstone to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mudstone, respectively. The green curve is the GR log. The difference of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P-impedance between sandstone and mudstone in TII0 is not obvious,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but the sandstone has the characteristics of low </w:t>
      </w:r>
      <w:r>
        <w:rPr>
          <w:rFonts w:ascii="CharisSIL" w:hAnsi="CharisSIL" w:eastAsia="CharisSIL"/>
          <w:b w:val="0"/>
          <w:i/>
          <w:color w:val="000000"/>
          <w:sz w:val="16"/>
        </w:rPr>
        <w:t>Vp</w:t>
      </w:r>
      <w:r>
        <w:rPr>
          <w:rFonts w:ascii="TeX_CM_Maths_Italic" w:hAnsi="TeX_CM_Maths_Italic" w:eastAsia="TeX_CM_Maths_Italic"/>
          <w:b w:val="0"/>
          <w:i/>
          <w:color w:val="000000"/>
          <w:sz w:val="16"/>
        </w:rPr>
        <w:t>/</w:t>
      </w:r>
      <w:r>
        <w:rPr>
          <w:rFonts w:ascii="CharisSIL" w:hAnsi="CharisSIL" w:eastAsia="CharisSIL"/>
          <w:b w:val="0"/>
          <w:i/>
          <w:color w:val="000000"/>
          <w:sz w:val="16"/>
        </w:rPr>
        <w:t>Vs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. Therefore, pre-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stack inversion of </w:t>
      </w:r>
      <w:r>
        <w:rPr>
          <w:rFonts w:ascii="CharisSIL" w:hAnsi="CharisSIL" w:eastAsia="CharisSIL"/>
          <w:b w:val="0"/>
          <w:i/>
          <w:color w:val="000000"/>
          <w:sz w:val="16"/>
        </w:rPr>
        <w:t>Vp</w:t>
      </w:r>
      <w:r>
        <w:rPr>
          <w:rFonts w:ascii="TeX_CM_Maths_Italic" w:hAnsi="TeX_CM_Maths_Italic" w:eastAsia="TeX_CM_Maths_Italic"/>
          <w:b w:val="0"/>
          <w:i/>
          <w:color w:val="000000"/>
          <w:sz w:val="16"/>
        </w:rPr>
        <w:t>/</w:t>
      </w:r>
      <w:r>
        <w:rPr>
          <w:rFonts w:ascii="CharisSIL" w:hAnsi="CharisSIL" w:eastAsia="CharisSIL"/>
          <w:b w:val="0"/>
          <w:i/>
          <w:color w:val="000000"/>
          <w:sz w:val="16"/>
        </w:rPr>
        <w:t xml:space="preserve">Vs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has the potential to identify reservoirs, and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reservoir can be distinguished in a small range. </w:t>
      </w:r>
    </w:p>
    <w:p>
      <w:pPr>
        <w:autoSpaceDN w:val="0"/>
        <w:autoSpaceDE w:val="0"/>
        <w:widowControl/>
        <w:spacing w:line="210" w:lineRule="exact" w:before="50" w:after="0"/>
        <w:ind w:left="0" w:right="0" w:firstLine="238"/>
        <w:jc w:val="left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seismic data from each angles need to be normalized at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beginning, and then 2 wells are used to construct the initial low-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frequency model for the conventional pre-stack inversion. The initial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model of the well position is obtained by 12 Hz low-pass filtering of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well data, and then extrapolated to the remaining CDPs positions by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interpolation. The 3D pre-stack inversion results of reservoir parameters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based on low frequency constrained (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Huck et al., 2010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). Due to the poor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quality of seismic data, conventional inversion results show low reso-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lution, which cannot meet the needs of accurate reservoir identification. </w:t>
      </w:r>
    </w:p>
    <w:p>
      <w:pPr>
        <w:autoSpaceDN w:val="0"/>
        <w:autoSpaceDE w:val="0"/>
        <w:widowControl/>
        <w:spacing w:line="210" w:lineRule="exact" w:before="52" w:after="0"/>
        <w:ind w:left="0" w:right="16" w:firstLine="238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For improving the resolution of reservoir parameters, we take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conventional inversion results as the auxiliary dataset for FSL inversion,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while the scarce training dataset only has 16 valid well log. In addition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to the well log used to construct the scarce dataset, one well that was not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involved in the network training process was used as a blind well to test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effectiveness of the results. The auxiliary dataset is used to pre-train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network, and the scarce training dataset will re-train the network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and adjust the weight of the network. We performed about 10 epochs to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re-train the network. Detailed desc-riptions of A-net network parameters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are presented in 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Table 1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. Such as input channels (Ic), output channels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(Oc), convolution kernel size (Ks), batch size (Bs), input data height (Ih). </w:t>
      </w:r>
    </w:p>
    <w:p>
      <w:pPr>
        <w:autoSpaceDN w:val="0"/>
        <w:autoSpaceDE w:val="0"/>
        <w:widowControl/>
        <w:spacing w:line="210" w:lineRule="exact" w:before="50" w:after="0"/>
        <w:ind w:left="0" w:right="0" w:firstLine="238"/>
        <w:jc w:val="left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After re-training, we use the trained network to predict </w:t>
      </w:r>
      <w:r>
        <w:rPr>
          <w:rFonts w:ascii="CharisSIL" w:hAnsi="CharisSIL" w:eastAsia="CharisSIL"/>
          <w:b w:val="0"/>
          <w:i/>
          <w:color w:val="000000"/>
          <w:sz w:val="16"/>
        </w:rPr>
        <w:t>Vp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, </w:t>
      </w:r>
      <w:r>
        <w:rPr>
          <w:rFonts w:ascii="CharisSIL" w:hAnsi="CharisSIL" w:eastAsia="CharisSIL"/>
          <w:b w:val="0"/>
          <w:i/>
          <w:color w:val="000000"/>
          <w:sz w:val="16"/>
        </w:rPr>
        <w:t xml:space="preserve">Vs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and </w:t>
      </w:r>
      <w:r>
        <w:rPr>
          <w:w w:val="103.05415391921997"/>
          <w:rFonts w:ascii="STIX" w:hAnsi="STIX" w:eastAsia="STIX"/>
          <w:b w:val="0"/>
          <w:i/>
          <w:color w:val="000000"/>
          <w:sz w:val="16"/>
        </w:rPr>
        <w:t xml:space="preserve">ρ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for the all CDPs positions in working area. It can be seen that retraining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network with well log yields higher resolution results than conventional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inversion, especially at the black arrow markers (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Figs. 6 and 7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). 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 xml:space="preserve">Fig. 8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shows the </w:t>
      </w:r>
      <w:r>
        <w:rPr>
          <w:rFonts w:ascii="CharisSIL" w:hAnsi="CharisSIL" w:eastAsia="CharisSIL"/>
          <w:b w:val="0"/>
          <w:i/>
          <w:color w:val="000000"/>
          <w:sz w:val="16"/>
        </w:rPr>
        <w:t>Vp</w:t>
      </w:r>
      <w:r>
        <w:rPr>
          <w:rFonts w:ascii="TeX_CM_Maths_Italic" w:hAnsi="TeX_CM_Maths_Italic" w:eastAsia="TeX_CM_Maths_Italic"/>
          <w:b w:val="0"/>
          <w:i/>
          <w:color w:val="000000"/>
          <w:sz w:val="16"/>
        </w:rPr>
        <w:t>/</w:t>
      </w:r>
      <w:r>
        <w:rPr>
          <w:rFonts w:ascii="CharisSIL" w:hAnsi="CharisSIL" w:eastAsia="CharisSIL"/>
          <w:b w:val="0"/>
          <w:i/>
          <w:color w:val="000000"/>
          <w:sz w:val="16"/>
        </w:rPr>
        <w:t xml:space="preserve">Vs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constructed from the inversion results. The black arrow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in 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 xml:space="preserve">Figs. 8 and 9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indicates the location of the target gas formation TII0.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inversion effect at this location in FSL-based inversion shows that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boundary between TII0 and surrounding mudstone is clear, and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thickness information of this formation can be accurately identified. We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can see that the FSL-based inversion shows several thinner sandstone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layers, while the conventional inversion shows a thicker sandstone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response. A comprehensive comparison of the two methods inversion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results shows that FSL-based inversion method can improve the reso-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lution and accuracy of inversion results in pre-stack seismic inversion.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Although the number of valid labeled data is small, the resolution of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result is still acceptable. If the number of label is enough, we will get a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better result. </w:t>
      </w:r>
    </w:p>
    <w:p>
      <w:pPr>
        <w:autoSpaceDN w:val="0"/>
        <w:autoSpaceDE w:val="0"/>
        <w:widowControl/>
        <w:spacing w:line="262" w:lineRule="exact" w:before="170" w:after="0"/>
        <w:ind w:left="0" w:right="0" w:firstLine="0"/>
        <w:jc w:val="left"/>
      </w:pPr>
      <w:r>
        <w:rPr>
          <w:rFonts w:ascii="CharisSIL" w:hAnsi="CharisSIL" w:eastAsia="CharisSIL"/>
          <w:b/>
          <w:i w:val="0"/>
          <w:color w:val="000000"/>
          <w:sz w:val="16"/>
        </w:rPr>
        <w:t xml:space="preserve">3. Conclusion </w:t>
      </w:r>
    </w:p>
    <w:p>
      <w:pPr>
        <w:autoSpaceDN w:val="0"/>
        <w:autoSpaceDE w:val="0"/>
        <w:widowControl/>
        <w:spacing w:line="208" w:lineRule="exact" w:before="208" w:after="0"/>
        <w:ind w:left="0" w:right="0" w:firstLine="238"/>
        <w:jc w:val="left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In this paper, we propose a high resolution pre-stack seismic inver-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sion method for reservoir parameters based on FSL. It contains a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specially designed A-Net architecture. Through a field data example, we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demonstrated the application of this network in resolving a high reso-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lution pre-stack seismic inversion problem. The results show clear </w:t>
      </w:r>
    </w:p>
    <w:p>
      <w:pPr>
        <w:sectPr>
          <w:type w:val="continuous"/>
          <w:pgSz w:w="11906" w:h="15874"/>
          <w:pgMar w:top="336" w:right="686" w:bottom="288" w:left="752" w:header="720" w:footer="720" w:gutter="0"/>
          <w:cols w:space="720" w:num="2" w:equalWidth="0">
            <w:col w:w="5084" w:space="0"/>
            <w:col w:w="5384" w:space="0"/>
            <w:col w:w="10468" w:space="0"/>
            <w:col w:w="5060" w:space="0"/>
            <w:col w:w="5408" w:space="0"/>
            <w:col w:w="10468" w:space="0"/>
            <w:col w:w="5084" w:space="0"/>
            <w:col w:w="5384" w:space="0"/>
            <w:col w:w="10468" w:space="0"/>
            <w:col w:w="5084" w:space="0"/>
            <w:col w:w="5384" w:space="0"/>
            <w:col w:w="10468" w:space="0"/>
            <w:col w:w="10470" w:space="0"/>
            <w:col w:w="5226" w:space="0"/>
            <w:col w:w="5244" w:space="0"/>
            <w:col w:w="10470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16" w:right="0" w:firstLine="0"/>
        <w:jc w:val="left"/>
      </w:pPr>
      <w:r>
        <w:rPr>
          <w:w w:val="98.09230657724234"/>
          <w:rFonts w:ascii="CharisSIL" w:hAnsi="CharisSIL" w:eastAsia="CharisSIL"/>
          <w:b w:val="0"/>
          <w:i w:val="0"/>
          <w:color w:val="000000"/>
          <w:sz w:val="13"/>
        </w:rPr>
        <w:t>207</w:t>
      </w:r>
    </w:p>
    <w:p>
      <w:pPr>
        <w:sectPr>
          <w:type w:val="nextColumn"/>
          <w:pgSz w:w="11906" w:h="15874"/>
          <w:pgMar w:top="336" w:right="686" w:bottom="288" w:left="752" w:header="720" w:footer="720" w:gutter="0"/>
          <w:cols w:space="720" w:num="2" w:equalWidth="0">
            <w:col w:w="5084" w:space="0"/>
            <w:col w:w="5384" w:space="0"/>
            <w:col w:w="10468" w:space="0"/>
            <w:col w:w="5060" w:space="0"/>
            <w:col w:w="5408" w:space="0"/>
            <w:col w:w="10468" w:space="0"/>
            <w:col w:w="5084" w:space="0"/>
            <w:col w:w="5384" w:space="0"/>
            <w:col w:w="10468" w:space="0"/>
            <w:col w:w="5084" w:space="0"/>
            <w:col w:w="5384" w:space="0"/>
            <w:col w:w="10468" w:space="0"/>
            <w:col w:w="10470" w:space="0"/>
            <w:col w:w="5226" w:space="0"/>
            <w:col w:w="5244" w:space="0"/>
            <w:col w:w="1047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6"/>
        <w:ind w:left="0" w:right="0"/>
      </w:pPr>
    </w:p>
    <w:p>
      <w:pPr>
        <w:autoSpaceDN w:val="0"/>
        <w:tabs>
          <w:tab w:pos="7450" w:val="left"/>
        </w:tabs>
        <w:autoSpaceDE w:val="0"/>
        <w:widowControl/>
        <w:spacing w:line="210" w:lineRule="exact" w:before="0" w:after="160"/>
        <w:ind w:left="0" w:right="0" w:firstLine="0"/>
        <w:jc w:val="left"/>
      </w:pPr>
      <w:r>
        <w:rPr>
          <w:w w:val="98.09076602642352"/>
          <w:rFonts w:ascii="CharisSIL" w:hAnsi="CharisSIL" w:eastAsia="CharisSIL"/>
          <w:b w:val="0"/>
          <w:i/>
          <w:color w:val="000000"/>
          <w:sz w:val="13"/>
        </w:rPr>
        <w:t xml:space="preserve">T. Chen et al. </w:t>
      </w:r>
      <w:r>
        <w:tab/>
      </w:r>
      <w:r>
        <w:rPr>
          <w:w w:val="98.09230657724234"/>
          <w:rFonts w:ascii="CharisSIL" w:hAnsi="CharisSIL" w:eastAsia="CharisSIL"/>
          <w:b w:val="0"/>
          <w:i/>
          <w:color w:val="000000"/>
          <w:sz w:val="13"/>
        </w:rPr>
        <w:t>Artificial Intelligence in Geosciences 3 (2022) 203–208</w:t>
      </w:r>
    </w:p>
    <w:p>
      <w:pPr>
        <w:sectPr>
          <w:pgSz w:w="11906" w:h="15874"/>
          <w:pgMar w:top="336" w:right="720" w:bottom="288" w:left="752" w:header="720" w:footer="720" w:gutter="0"/>
          <w:cols w:space="720" w:num="1" w:equalWidth="0">
            <w:col w:w="10433" w:space="0"/>
            <w:col w:w="5084" w:space="0"/>
            <w:col w:w="5384" w:space="0"/>
            <w:col w:w="10468" w:space="0"/>
            <w:col w:w="5060" w:space="0"/>
            <w:col w:w="5408" w:space="0"/>
            <w:col w:w="10468" w:space="0"/>
            <w:col w:w="5084" w:space="0"/>
            <w:col w:w="5384" w:space="0"/>
            <w:col w:w="10468" w:space="0"/>
            <w:col w:w="5084" w:space="0"/>
            <w:col w:w="5384" w:space="0"/>
            <w:col w:w="10468" w:space="0"/>
            <w:col w:w="10470" w:space="0"/>
            <w:col w:w="5226" w:space="0"/>
            <w:col w:w="5244" w:space="0"/>
            <w:col w:w="10470" w:space="0"/>
          </w:cols>
          <w:docGrid w:linePitch="360"/>
        </w:sectPr>
      </w:pPr>
    </w:p>
    <w:p>
      <w:pPr>
        <w:autoSpaceDN w:val="0"/>
        <w:autoSpaceDE w:val="0"/>
        <w:widowControl/>
        <w:spacing w:line="162" w:lineRule="exact" w:before="48" w:after="0"/>
        <w:ind w:left="238" w:right="144" w:hanging="238"/>
        <w:jc w:val="left"/>
      </w:pP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 xml:space="preserve">Sun, J., Innanen, K.A., Huang, C., 2021. Physics-guided deep learning for seismic </w:t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 xml:space="preserve">inversion with hybrid training and uncertainty analysis. Geophysics 86 (3), </w:t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>R303</w:t>
      </w:r>
      <w:r>
        <w:rPr>
          <w:w w:val="98.09076602642352"/>
          <w:rFonts w:ascii="STIX" w:hAnsi="STIX" w:eastAsia="STIX"/>
          <w:b w:val="0"/>
          <w:i w:val="0"/>
          <w:color w:val="000000"/>
          <w:sz w:val="13"/>
        </w:rPr>
        <w:t>–</w:t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 xml:space="preserve">R317. </w:t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27" w:history="1">
          <w:r>
            <w:rPr>
              <w:rStyle w:val="Hyperlink"/>
            </w:rPr>
            <w:t>https://doi.org/10.1190/geo2020-0312.1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 xml:space="preserve">. </w:t>
      </w:r>
    </w:p>
    <w:p>
      <w:pPr>
        <w:sectPr>
          <w:type w:val="continuous"/>
          <w:pgSz w:w="11906" w:h="15874"/>
          <w:pgMar w:top="336" w:right="720" w:bottom="288" w:left="752" w:header="720" w:footer="720" w:gutter="0"/>
          <w:cols w:space="720" w:num="2" w:equalWidth="0">
            <w:col w:w="4890" w:space="0"/>
            <w:col w:w="5543" w:space="0"/>
            <w:col w:w="10433" w:space="0"/>
            <w:col w:w="5084" w:space="0"/>
            <w:col w:w="5384" w:space="0"/>
            <w:col w:w="10468" w:space="0"/>
            <w:col w:w="5060" w:space="0"/>
            <w:col w:w="5408" w:space="0"/>
            <w:col w:w="10468" w:space="0"/>
            <w:col w:w="5084" w:space="0"/>
            <w:col w:w="5384" w:space="0"/>
            <w:col w:w="10468" w:space="0"/>
            <w:col w:w="5084" w:space="0"/>
            <w:col w:w="5384" w:space="0"/>
            <w:col w:w="10468" w:space="0"/>
            <w:col w:w="10470" w:space="0"/>
            <w:col w:w="5226" w:space="0"/>
            <w:col w:w="5244" w:space="0"/>
            <w:col w:w="10470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210" w:right="0" w:firstLine="0"/>
        <w:jc w:val="left"/>
      </w:pPr>
      <w:r>
        <w:rPr>
          <w:w w:val="98.09230657724234"/>
          <w:rFonts w:ascii="CharisSIL" w:hAnsi="CharisSIL" w:eastAsia="CharisSIL"/>
          <w:b w:val="0"/>
          <w:i w:val="0"/>
          <w:color w:val="000000"/>
          <w:sz w:val="13"/>
        </w:rPr>
        <w:t>208</w:t>
      </w:r>
    </w:p>
    <w:sectPr w:rsidR="00FC693F" w:rsidRPr="0006063C" w:rsidSect="00034616">
      <w:type w:val="nextColumn"/>
      <w:pgSz w:w="11906" w:h="15874"/>
      <w:pgMar w:top="336" w:right="720" w:bottom="288" w:left="752" w:header="720" w:footer="720" w:gutter="0"/>
      <w:cols w:space="720" w:num="2" w:equalWidth="0">
        <w:col w:w="4890" w:space="0"/>
        <w:col w:w="5543" w:space="0"/>
        <w:col w:w="10433" w:space="0"/>
        <w:col w:w="5084" w:space="0"/>
        <w:col w:w="5384" w:space="0"/>
        <w:col w:w="10468" w:space="0"/>
        <w:col w:w="5060" w:space="0"/>
        <w:col w:w="5408" w:space="0"/>
        <w:col w:w="10468" w:space="0"/>
        <w:col w:w="5084" w:space="0"/>
        <w:col w:w="5384" w:space="0"/>
        <w:col w:w="10468" w:space="0"/>
        <w:col w:w="5084" w:space="0"/>
        <w:col w:w="5384" w:space="0"/>
        <w:col w:w="10468" w:space="0"/>
        <w:col w:w="10470" w:space="0"/>
        <w:col w:w="5226" w:space="0"/>
        <w:col w:w="5244" w:space="0"/>
        <w:col w:w="10470" w:space="0"/>
      </w:cols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hyperlink" Target="https://doi.org/10.1016/j.aiig.2022.12.004" TargetMode="External"/><Relationship Id="rId10" Type="http://schemas.openxmlformats.org/officeDocument/2006/relationships/hyperlink" Target="http://www.keaipublishing.com/en/journals/artificial-intelligence-in-geosciences" TargetMode="External"/><Relationship Id="rId11" Type="http://schemas.openxmlformats.org/officeDocument/2006/relationships/hyperlink" Target="mailto:ting.chen.seven@gmail.com" TargetMode="External"/><Relationship Id="rId12" Type="http://schemas.openxmlformats.org/officeDocument/2006/relationships/hyperlink" Target="http://creativecommons.org/licenses/by-nc-nd/4.0/" TargetMode="External"/><Relationship Id="rId13" Type="http://schemas.openxmlformats.org/officeDocument/2006/relationships/image" Target="media/image1.png"/><Relationship Id="rId14" Type="http://schemas.openxmlformats.org/officeDocument/2006/relationships/image" Target="media/image2.png"/><Relationship Id="rId15" Type="http://schemas.openxmlformats.org/officeDocument/2006/relationships/image" Target="media/image3.png"/><Relationship Id="rId16" Type="http://schemas.openxmlformats.org/officeDocument/2006/relationships/image" Target="media/image4.png"/><Relationship Id="rId17" Type="http://schemas.openxmlformats.org/officeDocument/2006/relationships/image" Target="media/image5.png"/><Relationship Id="rId18" Type="http://schemas.openxmlformats.org/officeDocument/2006/relationships/image" Target="media/image6.png"/><Relationship Id="rId19" Type="http://schemas.openxmlformats.org/officeDocument/2006/relationships/image" Target="media/image7.png"/><Relationship Id="rId20" Type="http://schemas.openxmlformats.org/officeDocument/2006/relationships/image" Target="media/image8.png"/><Relationship Id="rId21" Type="http://schemas.openxmlformats.org/officeDocument/2006/relationships/image" Target="media/image9.png"/><Relationship Id="rId22" Type="http://schemas.openxmlformats.org/officeDocument/2006/relationships/image" Target="media/image10.png"/><Relationship Id="rId23" Type="http://schemas.openxmlformats.org/officeDocument/2006/relationships/image" Target="media/image11.png"/><Relationship Id="rId24" Type="http://schemas.openxmlformats.org/officeDocument/2006/relationships/image" Target="media/image12.png"/><Relationship Id="rId25" Type="http://schemas.openxmlformats.org/officeDocument/2006/relationships/image" Target="media/image13.png"/><Relationship Id="rId26" Type="http://schemas.openxmlformats.org/officeDocument/2006/relationships/image" Target="media/image14.png"/><Relationship Id="rId27" Type="http://schemas.openxmlformats.org/officeDocument/2006/relationships/hyperlink" Target="https://doi.org/10.1190/geo2020-0312.1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